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A041" w14:textId="4B2F6FE6" w:rsidR="00ED1239" w:rsidRDefault="00ED1239" w:rsidP="00123CB5"/>
    <w:tbl>
      <w:tblPr>
        <w:tblStyle w:val="TableGrid"/>
        <w:tblpPr w:leftFromText="180" w:rightFromText="180" w:vertAnchor="page" w:horzAnchor="margin" w:tblpXSpec="center" w:tblpY="1876"/>
        <w:tblW w:w="10490" w:type="dxa"/>
        <w:tblLook w:val="04A0" w:firstRow="1" w:lastRow="0" w:firstColumn="1" w:lastColumn="0" w:noHBand="0" w:noVBand="1"/>
      </w:tblPr>
      <w:tblGrid>
        <w:gridCol w:w="3496"/>
        <w:gridCol w:w="1749"/>
        <w:gridCol w:w="1980"/>
        <w:gridCol w:w="3265"/>
      </w:tblGrid>
      <w:tr w:rsidR="00835F52" w:rsidRPr="006D4D45" w14:paraId="362AF035" w14:textId="77777777" w:rsidTr="00692FF8">
        <w:trPr>
          <w:trHeight w:val="841"/>
        </w:trPr>
        <w:tc>
          <w:tcPr>
            <w:tcW w:w="7225" w:type="dxa"/>
            <w:gridSpan w:val="3"/>
            <w:vAlign w:val="center"/>
          </w:tcPr>
          <w:p w14:paraId="197D7910" w14:textId="77777777" w:rsidR="00835F52" w:rsidRPr="009D2D9A" w:rsidRDefault="00835F52" w:rsidP="00692FF8">
            <w:pPr>
              <w:rPr>
                <w:rFonts w:cstheme="minorHAnsi"/>
                <w:b/>
                <w:i/>
                <w:sz w:val="18"/>
                <w:szCs w:val="18"/>
              </w:rPr>
            </w:pPr>
            <w:r w:rsidRPr="009D2D9A">
              <w:rPr>
                <w:rFonts w:cstheme="minorHAnsi"/>
                <w:b/>
                <w:i/>
                <w:sz w:val="18"/>
                <w:szCs w:val="18"/>
              </w:rPr>
              <w:t>Policy Name</w:t>
            </w:r>
          </w:p>
          <w:p w14:paraId="7D9A0D3C" w14:textId="6483F5D5" w:rsidR="00835F52" w:rsidRDefault="00640EBA" w:rsidP="00692FF8">
            <w:pPr>
              <w:rPr>
                <w:rFonts w:cstheme="minorHAnsi"/>
                <w:b/>
                <w:sz w:val="28"/>
                <w:szCs w:val="28"/>
              </w:rPr>
            </w:pPr>
            <w:r>
              <w:rPr>
                <w:rFonts w:cstheme="minorHAnsi"/>
                <w:b/>
                <w:sz w:val="28"/>
                <w:szCs w:val="28"/>
              </w:rPr>
              <w:t>DISPUTE RE</w:t>
            </w:r>
            <w:r w:rsidR="001A120E">
              <w:rPr>
                <w:rFonts w:cstheme="minorHAnsi"/>
                <w:b/>
                <w:sz w:val="28"/>
                <w:szCs w:val="28"/>
              </w:rPr>
              <w:t>S</w:t>
            </w:r>
            <w:r>
              <w:rPr>
                <w:rFonts w:cstheme="minorHAnsi"/>
                <w:b/>
                <w:sz w:val="28"/>
                <w:szCs w:val="28"/>
              </w:rPr>
              <w:t>OLUTION</w:t>
            </w:r>
            <w:r w:rsidR="00333614">
              <w:rPr>
                <w:rFonts w:cstheme="minorHAnsi"/>
                <w:b/>
                <w:sz w:val="28"/>
                <w:szCs w:val="28"/>
              </w:rPr>
              <w:t xml:space="preserve"> POLICY</w:t>
            </w:r>
          </w:p>
        </w:tc>
        <w:tc>
          <w:tcPr>
            <w:tcW w:w="3265" w:type="dxa"/>
            <w:vAlign w:val="center"/>
          </w:tcPr>
          <w:p w14:paraId="19FAC05E" w14:textId="77777777" w:rsidR="00835F52" w:rsidRDefault="00835F52" w:rsidP="00692FF8">
            <w:pPr>
              <w:rPr>
                <w:rFonts w:cstheme="minorHAnsi"/>
                <w:b/>
                <w:i/>
                <w:iCs/>
                <w:sz w:val="18"/>
                <w:szCs w:val="18"/>
              </w:rPr>
            </w:pPr>
            <w:r w:rsidRPr="000D008B">
              <w:rPr>
                <w:rFonts w:cstheme="minorHAnsi"/>
                <w:b/>
                <w:i/>
                <w:iCs/>
                <w:sz w:val="18"/>
                <w:szCs w:val="18"/>
              </w:rPr>
              <w:t>Policy Category</w:t>
            </w:r>
          </w:p>
          <w:p w14:paraId="43B29C82" w14:textId="3B335059" w:rsidR="00835F52" w:rsidRPr="001F72AA" w:rsidRDefault="00835F52" w:rsidP="00692FF8">
            <w:pPr>
              <w:rPr>
                <w:rFonts w:cstheme="minorHAnsi"/>
                <w:b/>
              </w:rPr>
            </w:pPr>
            <w:r>
              <w:rPr>
                <w:rFonts w:cstheme="minorHAnsi"/>
                <w:b/>
              </w:rPr>
              <w:t>MEMBERSHIP</w:t>
            </w:r>
          </w:p>
        </w:tc>
      </w:tr>
      <w:tr w:rsidR="00835F52" w:rsidRPr="006D4D45" w14:paraId="5984871A" w14:textId="77777777" w:rsidTr="00692FF8">
        <w:trPr>
          <w:trHeight w:val="549"/>
        </w:trPr>
        <w:tc>
          <w:tcPr>
            <w:tcW w:w="3496" w:type="dxa"/>
          </w:tcPr>
          <w:p w14:paraId="284DF7F3" w14:textId="77777777" w:rsidR="00835F52" w:rsidRPr="009D2D9A" w:rsidRDefault="00835F52" w:rsidP="00692FF8">
            <w:pPr>
              <w:rPr>
                <w:rFonts w:cstheme="minorHAnsi"/>
                <w:b/>
                <w:i/>
                <w:sz w:val="18"/>
                <w:szCs w:val="18"/>
              </w:rPr>
            </w:pPr>
            <w:r w:rsidRPr="009D2D9A">
              <w:rPr>
                <w:rFonts w:cstheme="minorHAnsi"/>
                <w:b/>
                <w:i/>
                <w:sz w:val="18"/>
                <w:szCs w:val="18"/>
              </w:rPr>
              <w:t xml:space="preserve">Date of Approval </w:t>
            </w:r>
          </w:p>
          <w:p w14:paraId="522DDED2" w14:textId="3DCB6540" w:rsidR="00835F52" w:rsidRPr="00DF0721" w:rsidRDefault="0074022C" w:rsidP="00692FF8">
            <w:pPr>
              <w:rPr>
                <w:rFonts w:cstheme="minorHAnsi"/>
                <w:bCs/>
                <w:iCs/>
              </w:rPr>
            </w:pPr>
            <w:r>
              <w:rPr>
                <w:rFonts w:cstheme="minorHAnsi"/>
                <w:bCs/>
                <w:iCs/>
              </w:rPr>
              <w:t>December 15, 2020</w:t>
            </w:r>
          </w:p>
        </w:tc>
        <w:tc>
          <w:tcPr>
            <w:tcW w:w="3729" w:type="dxa"/>
            <w:gridSpan w:val="2"/>
          </w:tcPr>
          <w:p w14:paraId="44CA0B4F" w14:textId="77777777" w:rsidR="00835F52" w:rsidRDefault="00835F52" w:rsidP="00692FF8">
            <w:pPr>
              <w:rPr>
                <w:rFonts w:cstheme="minorHAnsi"/>
                <w:b/>
                <w:i/>
                <w:sz w:val="18"/>
                <w:szCs w:val="18"/>
              </w:rPr>
            </w:pPr>
            <w:r w:rsidRPr="009D2D9A">
              <w:rPr>
                <w:rFonts w:cstheme="minorHAnsi"/>
                <w:b/>
                <w:i/>
                <w:sz w:val="18"/>
                <w:szCs w:val="18"/>
              </w:rPr>
              <w:t>Activation Date</w:t>
            </w:r>
          </w:p>
          <w:p w14:paraId="1620BA8E" w14:textId="6BD34022" w:rsidR="00835F52" w:rsidRPr="00495B13" w:rsidRDefault="0074022C" w:rsidP="00692FF8">
            <w:pPr>
              <w:rPr>
                <w:rFonts w:cstheme="minorHAnsi"/>
                <w:iCs/>
              </w:rPr>
            </w:pPr>
            <w:r>
              <w:rPr>
                <w:rFonts w:cstheme="minorHAnsi"/>
                <w:iCs/>
              </w:rPr>
              <w:t>March 31, 2021</w:t>
            </w:r>
          </w:p>
        </w:tc>
        <w:tc>
          <w:tcPr>
            <w:tcW w:w="3265" w:type="dxa"/>
          </w:tcPr>
          <w:p w14:paraId="00A19FCC" w14:textId="77777777" w:rsidR="00835F52" w:rsidRPr="00495B13" w:rsidRDefault="00835F52" w:rsidP="00692FF8">
            <w:pPr>
              <w:rPr>
                <w:rFonts w:cstheme="minorHAnsi"/>
                <w:b/>
                <w:bCs/>
                <w:i/>
                <w:sz w:val="18"/>
                <w:szCs w:val="18"/>
              </w:rPr>
            </w:pPr>
            <w:r w:rsidRPr="00495B13">
              <w:rPr>
                <w:rFonts w:cstheme="minorHAnsi"/>
                <w:b/>
                <w:bCs/>
                <w:i/>
                <w:sz w:val="18"/>
                <w:szCs w:val="18"/>
              </w:rPr>
              <w:t>Replacing Previous Version</w:t>
            </w:r>
          </w:p>
          <w:p w14:paraId="537C1027" w14:textId="2BEFCED9" w:rsidR="00835F52" w:rsidRPr="00DF0721" w:rsidRDefault="009C653B" w:rsidP="00692FF8">
            <w:pPr>
              <w:rPr>
                <w:rFonts w:cstheme="minorHAnsi"/>
                <w:sz w:val="18"/>
                <w:szCs w:val="18"/>
              </w:rPr>
            </w:pPr>
            <w:r>
              <w:rPr>
                <w:rFonts w:cstheme="minorHAnsi"/>
                <w:sz w:val="18"/>
                <w:szCs w:val="18"/>
              </w:rPr>
              <w:t>September 30, 2011</w:t>
            </w:r>
          </w:p>
        </w:tc>
      </w:tr>
      <w:tr w:rsidR="00835F52" w:rsidRPr="006D4D45" w14:paraId="1D2845F4" w14:textId="77777777" w:rsidTr="00692FF8">
        <w:trPr>
          <w:trHeight w:val="572"/>
        </w:trPr>
        <w:tc>
          <w:tcPr>
            <w:tcW w:w="5245" w:type="dxa"/>
            <w:gridSpan w:val="2"/>
          </w:tcPr>
          <w:p w14:paraId="4C3FDB11" w14:textId="77777777" w:rsidR="00835F52" w:rsidRPr="00AF3762" w:rsidRDefault="00835F52" w:rsidP="00692FF8">
            <w:pPr>
              <w:rPr>
                <w:rFonts w:cstheme="minorHAnsi"/>
                <w:b/>
                <w:bCs/>
                <w:szCs w:val="20"/>
              </w:rPr>
            </w:pPr>
            <w:r w:rsidRPr="00AF3762">
              <w:rPr>
                <w:rFonts w:cstheme="minorHAnsi"/>
                <w:b/>
                <w:bCs/>
                <w:i/>
                <w:sz w:val="16"/>
                <w:szCs w:val="16"/>
              </w:rPr>
              <w:t>Approved By</w:t>
            </w:r>
            <w:r w:rsidRPr="00AF3762">
              <w:rPr>
                <w:rFonts w:cstheme="minorHAnsi"/>
                <w:b/>
                <w:bCs/>
                <w:szCs w:val="20"/>
              </w:rPr>
              <w:t xml:space="preserve"> </w:t>
            </w:r>
          </w:p>
          <w:p w14:paraId="48C40739" w14:textId="77777777" w:rsidR="00835F52" w:rsidRPr="00AF3762" w:rsidRDefault="00835F52" w:rsidP="00692FF8">
            <w:pPr>
              <w:rPr>
                <w:rFonts w:cstheme="minorHAnsi"/>
                <w:b/>
                <w:bCs/>
                <w:i/>
                <w:sz w:val="16"/>
                <w:szCs w:val="16"/>
              </w:rPr>
            </w:pPr>
            <w:r w:rsidRPr="00AF3762">
              <w:rPr>
                <w:rFonts w:cstheme="minorHAnsi"/>
                <w:b/>
                <w:bCs/>
                <w:szCs w:val="20"/>
              </w:rPr>
              <w:t>Board of Directors</w:t>
            </w:r>
          </w:p>
        </w:tc>
        <w:tc>
          <w:tcPr>
            <w:tcW w:w="5245" w:type="dxa"/>
            <w:gridSpan w:val="2"/>
          </w:tcPr>
          <w:p w14:paraId="2355ECB3" w14:textId="77777777" w:rsidR="00835F52" w:rsidRPr="00AF3762" w:rsidRDefault="00835F52" w:rsidP="00692FF8">
            <w:pPr>
              <w:rPr>
                <w:rFonts w:cstheme="minorHAnsi"/>
                <w:b/>
                <w:bCs/>
                <w:i/>
                <w:sz w:val="16"/>
                <w:szCs w:val="16"/>
              </w:rPr>
            </w:pPr>
            <w:r w:rsidRPr="00AF3762">
              <w:rPr>
                <w:rFonts w:cstheme="minorHAnsi"/>
                <w:b/>
                <w:bCs/>
                <w:i/>
                <w:sz w:val="16"/>
                <w:szCs w:val="16"/>
              </w:rPr>
              <w:t>Review Cycle</w:t>
            </w:r>
          </w:p>
          <w:p w14:paraId="32666472" w14:textId="7020FCEF" w:rsidR="00835F52" w:rsidRPr="00AF3762" w:rsidRDefault="009C653B" w:rsidP="00692FF8">
            <w:pPr>
              <w:rPr>
                <w:rFonts w:cstheme="minorHAnsi"/>
                <w:b/>
                <w:bCs/>
                <w:iCs/>
              </w:rPr>
            </w:pPr>
            <w:r>
              <w:rPr>
                <w:rFonts w:cstheme="minorHAnsi"/>
                <w:b/>
                <w:bCs/>
                <w:iCs/>
              </w:rPr>
              <w:t>Governance Committee – every two years</w:t>
            </w:r>
          </w:p>
        </w:tc>
      </w:tr>
    </w:tbl>
    <w:p w14:paraId="3C9A6448" w14:textId="627B66CC" w:rsidR="000956D1" w:rsidRPr="00A62AE2" w:rsidRDefault="000956D1" w:rsidP="009C653B">
      <w:pPr>
        <w:pStyle w:val="Heading1"/>
      </w:pPr>
      <w:r w:rsidRPr="00A62AE2">
        <w:t>1. PURPOSE</w:t>
      </w:r>
    </w:p>
    <w:p w14:paraId="76EA4E8A" w14:textId="2B3C093B" w:rsidR="009C653B" w:rsidRPr="009C653B" w:rsidRDefault="009C653B" w:rsidP="00E61710">
      <w:r w:rsidRPr="009C653B">
        <w:t>Field Hockey Canada (FHC) is committed to using the techniques of negotiation, facilitation, mediation and arbitration as effective ways to resolve disputes with</w:t>
      </w:r>
      <w:r w:rsidRPr="009C653B">
        <w:rPr>
          <w:spacing w:val="-36"/>
        </w:rPr>
        <w:t xml:space="preserve"> </w:t>
      </w:r>
      <w:r w:rsidRPr="009C653B">
        <w:t xml:space="preserve">and among </w:t>
      </w:r>
      <w:r w:rsidR="007B5692">
        <w:t>participants</w:t>
      </w:r>
      <w:r w:rsidRPr="009C653B">
        <w:t>, and to avoid the uncertainty, costs and other negative effects associated with</w:t>
      </w:r>
      <w:r w:rsidRPr="009C653B">
        <w:rPr>
          <w:spacing w:val="-2"/>
        </w:rPr>
        <w:t xml:space="preserve"> </w:t>
      </w:r>
      <w:r w:rsidRPr="009C653B">
        <w:t>litigation</w:t>
      </w:r>
      <w:r w:rsidR="00F651F3">
        <w:t>, recognizing that both parties must consent to the alternative resolution methods for them to be utilized.</w:t>
      </w:r>
    </w:p>
    <w:p w14:paraId="64349BF3" w14:textId="169DAE97" w:rsidR="000956D1" w:rsidRPr="00A62AE2" w:rsidRDefault="000956D1" w:rsidP="009C653B">
      <w:pPr>
        <w:pStyle w:val="Heading1"/>
      </w:pPr>
      <w:r w:rsidRPr="00A62AE2">
        <w:t>2. PRINCIPLE</w:t>
      </w:r>
    </w:p>
    <w:p w14:paraId="1491E3E9" w14:textId="736B13F7" w:rsidR="000956D1" w:rsidRDefault="6B291FFA" w:rsidP="000956D1">
      <w:r>
        <w:t>FHC</w:t>
      </w:r>
      <w:r w:rsidR="47F1D917">
        <w:t xml:space="preserve"> supports </w:t>
      </w:r>
      <w:r w:rsidR="46353868">
        <w:t>the</w:t>
      </w:r>
      <w:r w:rsidR="47F1D917">
        <w:t xml:space="preserve"> </w:t>
      </w:r>
      <w:r w:rsidR="60CCD90E">
        <w:t>p</w:t>
      </w:r>
      <w:r w:rsidR="47F1D917">
        <w:t>roces</w:t>
      </w:r>
      <w:r w:rsidR="1BB7BBEA">
        <w:t>s</w:t>
      </w:r>
      <w:r w:rsidR="5F44F5E6">
        <w:t xml:space="preserve">es in this </w:t>
      </w:r>
      <w:r w:rsidR="4AE06325">
        <w:t>policy</w:t>
      </w:r>
      <w:r w:rsidR="47F1D917">
        <w:t xml:space="preserve"> that </w:t>
      </w:r>
      <w:r w:rsidR="1BB7BBEA">
        <w:t xml:space="preserve">provide satisfactory closure to any </w:t>
      </w:r>
      <w:r w:rsidR="47F1D917">
        <w:t>matter of dispute</w:t>
      </w:r>
      <w:r w:rsidR="1BB7BBEA">
        <w:t xml:space="preserve"> within the association that has not been resolved through the FHC </w:t>
      </w:r>
      <w:r w:rsidR="1BB7BBEA" w:rsidRPr="28A78958">
        <w:rPr>
          <w:b/>
          <w:bCs/>
          <w:i/>
          <w:iCs/>
        </w:rPr>
        <w:t>Complaints and Discipline Policy</w:t>
      </w:r>
      <w:r w:rsidR="1BB7BBEA">
        <w:t xml:space="preserve"> or the FHC </w:t>
      </w:r>
      <w:r w:rsidR="1BB7BBEA" w:rsidRPr="28A78958">
        <w:rPr>
          <w:b/>
          <w:bCs/>
          <w:i/>
          <w:iCs/>
        </w:rPr>
        <w:t>Appeals Policy</w:t>
      </w:r>
      <w:r w:rsidR="1BB7BBEA">
        <w:t>.</w:t>
      </w:r>
      <w:r w:rsidR="47F1D917">
        <w:t xml:space="preserve"> </w:t>
      </w:r>
    </w:p>
    <w:p w14:paraId="46E281B0" w14:textId="77777777" w:rsidR="000956D1" w:rsidRPr="009C653B" w:rsidRDefault="000956D1" w:rsidP="009C653B">
      <w:pPr>
        <w:pStyle w:val="Heading1"/>
      </w:pPr>
      <w:r w:rsidRPr="009C653B">
        <w:t>3. APPLICATION</w:t>
      </w:r>
    </w:p>
    <w:p w14:paraId="1C7914B8" w14:textId="56260AB1" w:rsidR="003861B6" w:rsidRDefault="5BB871DD" w:rsidP="28A78958">
      <w:pPr>
        <w:tabs>
          <w:tab w:val="left" w:pos="1200"/>
        </w:tabs>
        <w:spacing w:before="60"/>
      </w:pPr>
      <w:r w:rsidRPr="009C653B">
        <w:t xml:space="preserve">This policy applies to disputes with and among </w:t>
      </w:r>
      <w:r w:rsidR="056D5CDE">
        <w:t>participants</w:t>
      </w:r>
      <w:r w:rsidRPr="009C653B">
        <w:t xml:space="preserve">, where the term </w:t>
      </w:r>
      <w:r w:rsidR="0074022C">
        <w:t>“</w:t>
      </w:r>
      <w:r w:rsidR="0D960826">
        <w:t>participants</w:t>
      </w:r>
      <w:r w:rsidR="0074022C">
        <w:t>”</w:t>
      </w:r>
      <w:r w:rsidR="0D960826">
        <w:t xml:space="preserve"> refers to </w:t>
      </w:r>
      <w:r w:rsidR="0D960826" w:rsidRPr="00CD6592">
        <w:t xml:space="preserve">Registered Participants </w:t>
      </w:r>
      <w:r w:rsidR="0D960826">
        <w:t xml:space="preserve">as </w:t>
      </w:r>
      <w:r w:rsidR="0D960826" w:rsidRPr="00CD6592">
        <w:t xml:space="preserve">defined in Article 1.1 (h) of the Bylaws of </w:t>
      </w:r>
      <w:r w:rsidR="63DC7E37">
        <w:t>FHC</w:t>
      </w:r>
      <w:r w:rsidR="0D960826" w:rsidRPr="00CD6592">
        <w:t xml:space="preserve"> including, </w:t>
      </w:r>
      <w:r w:rsidR="0D960826" w:rsidRPr="28A78958">
        <w:t xml:space="preserve">but not limited to, athletes, coaches, convenors, officials, volunteers, managers, </w:t>
      </w:r>
      <w:r w:rsidR="5895B022" w:rsidRPr="28A78958">
        <w:t xml:space="preserve">committee members and Directors </w:t>
      </w:r>
      <w:r w:rsidR="0D960826" w:rsidRPr="28A78958">
        <w:t>of F</w:t>
      </w:r>
      <w:r w:rsidR="3923CCE7" w:rsidRPr="28A78958">
        <w:t>HC.</w:t>
      </w:r>
    </w:p>
    <w:p w14:paraId="0126DDCC" w14:textId="77777777" w:rsidR="00C5186A" w:rsidRDefault="00C5186A" w:rsidP="00E61710">
      <w:pPr>
        <w:tabs>
          <w:tab w:val="left" w:pos="821"/>
        </w:tabs>
      </w:pPr>
    </w:p>
    <w:p w14:paraId="662EC52D" w14:textId="700B6B78" w:rsidR="009C653B" w:rsidRPr="009C653B" w:rsidRDefault="00C5186A" w:rsidP="00E61710">
      <w:pPr>
        <w:tabs>
          <w:tab w:val="left" w:pos="821"/>
        </w:tabs>
      </w:pPr>
      <w:r>
        <w:t>T</w:t>
      </w:r>
      <w:r w:rsidR="009C653B" w:rsidRPr="009C653B">
        <w:t>his policy does not apply to disputes relating</w:t>
      </w:r>
      <w:r w:rsidR="009C653B" w:rsidRPr="00E61710">
        <w:rPr>
          <w:spacing w:val="-10"/>
        </w:rPr>
        <w:t xml:space="preserve"> </w:t>
      </w:r>
      <w:r w:rsidR="009C653B" w:rsidRPr="009C653B">
        <w:t>to</w:t>
      </w:r>
    </w:p>
    <w:p w14:paraId="2B4F38D9" w14:textId="77777777" w:rsidR="009C653B" w:rsidRPr="009C653B" w:rsidRDefault="009C653B" w:rsidP="00C5186A">
      <w:pPr>
        <w:pStyle w:val="ListParagraph"/>
        <w:numPr>
          <w:ilvl w:val="0"/>
          <w:numId w:val="4"/>
        </w:numPr>
        <w:tabs>
          <w:tab w:val="left" w:pos="1181"/>
        </w:tabs>
      </w:pPr>
      <w:r w:rsidRPr="009C653B">
        <w:t>Matters of</w:t>
      </w:r>
      <w:r w:rsidRPr="00C5186A">
        <w:rPr>
          <w:spacing w:val="-3"/>
        </w:rPr>
        <w:t xml:space="preserve"> </w:t>
      </w:r>
      <w:r w:rsidRPr="009C653B">
        <w:t>employment;</w:t>
      </w:r>
    </w:p>
    <w:p w14:paraId="1944AD15" w14:textId="77777777" w:rsidR="009C653B" w:rsidRPr="009C653B" w:rsidRDefault="009C653B" w:rsidP="00C5186A">
      <w:pPr>
        <w:pStyle w:val="ListParagraph"/>
        <w:numPr>
          <w:ilvl w:val="0"/>
          <w:numId w:val="4"/>
        </w:numPr>
        <w:tabs>
          <w:tab w:val="left" w:pos="1181"/>
        </w:tabs>
      </w:pPr>
      <w:r w:rsidRPr="009C653B">
        <w:t xml:space="preserve">Infractions for doping offences, which are dealt with pursuant to the </w:t>
      </w:r>
      <w:r w:rsidRPr="00C5186A">
        <w:rPr>
          <w:i/>
        </w:rPr>
        <w:t xml:space="preserve">Canadian Anti-Doping Program </w:t>
      </w:r>
      <w:r w:rsidRPr="009C653B">
        <w:t xml:space="preserve">and the </w:t>
      </w:r>
      <w:r w:rsidRPr="00C5186A">
        <w:rPr>
          <w:i/>
        </w:rPr>
        <w:t>Canadian Doping Control</w:t>
      </w:r>
      <w:r w:rsidRPr="00C5186A">
        <w:rPr>
          <w:i/>
          <w:spacing w:val="-5"/>
        </w:rPr>
        <w:t xml:space="preserve"> </w:t>
      </w:r>
      <w:r w:rsidRPr="00C5186A">
        <w:rPr>
          <w:i/>
        </w:rPr>
        <w:t>Regulations</w:t>
      </w:r>
      <w:r w:rsidRPr="009C653B">
        <w:t>;</w:t>
      </w:r>
    </w:p>
    <w:p w14:paraId="7AB0C6B5" w14:textId="77777777" w:rsidR="009C653B" w:rsidRPr="009C653B" w:rsidRDefault="009C653B" w:rsidP="00C5186A">
      <w:pPr>
        <w:pStyle w:val="ListParagraph"/>
        <w:numPr>
          <w:ilvl w:val="0"/>
          <w:numId w:val="4"/>
        </w:numPr>
        <w:tabs>
          <w:tab w:val="left" w:pos="1181"/>
        </w:tabs>
        <w:spacing w:line="293" w:lineRule="exact"/>
      </w:pPr>
      <w:r w:rsidRPr="009C653B">
        <w:t>The rules of field hockey, which may not be appealed;</w:t>
      </w:r>
      <w:r w:rsidRPr="00C5186A">
        <w:rPr>
          <w:spacing w:val="-4"/>
        </w:rPr>
        <w:t xml:space="preserve"> </w:t>
      </w:r>
      <w:r w:rsidRPr="009C653B">
        <w:t>and</w:t>
      </w:r>
    </w:p>
    <w:p w14:paraId="6AC403EA" w14:textId="77777777" w:rsidR="009C653B" w:rsidRPr="009C653B" w:rsidRDefault="009C653B" w:rsidP="00C5186A">
      <w:pPr>
        <w:pStyle w:val="ListParagraph"/>
        <w:numPr>
          <w:ilvl w:val="0"/>
          <w:numId w:val="4"/>
        </w:numPr>
        <w:tabs>
          <w:tab w:val="left" w:pos="1181"/>
        </w:tabs>
      </w:pPr>
      <w:r w:rsidRPr="009C653B">
        <w:t>Discipline matters arising during events organized by entities other than</w:t>
      </w:r>
      <w:r w:rsidRPr="00C5186A">
        <w:rPr>
          <w:spacing w:val="-29"/>
        </w:rPr>
        <w:t xml:space="preserve"> </w:t>
      </w:r>
      <w:r w:rsidRPr="009C653B">
        <w:t>FHC, which are dealt with pursuant to the policies of these other</w:t>
      </w:r>
      <w:r w:rsidRPr="00C5186A">
        <w:rPr>
          <w:spacing w:val="-15"/>
        </w:rPr>
        <w:t xml:space="preserve"> </w:t>
      </w:r>
      <w:r w:rsidRPr="009C653B">
        <w:t>entities.</w:t>
      </w:r>
    </w:p>
    <w:p w14:paraId="2E2C0F27" w14:textId="4AF0C290" w:rsidR="00A35372" w:rsidRDefault="000425CC" w:rsidP="00920FD6">
      <w:pPr>
        <w:pStyle w:val="Heading1"/>
      </w:pPr>
      <w:r>
        <w:t xml:space="preserve">4. </w:t>
      </w:r>
      <w:r w:rsidR="00A35372">
        <w:t>Negotiation</w:t>
      </w:r>
    </w:p>
    <w:p w14:paraId="2E030584" w14:textId="4DFB9B35" w:rsidR="00A35372" w:rsidRPr="008C258B" w:rsidRDefault="7E1A0A0F" w:rsidP="008C258B">
      <w:pPr>
        <w:tabs>
          <w:tab w:val="left" w:pos="821"/>
        </w:tabs>
        <w:ind w:right="168"/>
      </w:pPr>
      <w:r w:rsidRPr="008C258B">
        <w:t>FHC encourages all</w:t>
      </w:r>
      <w:r w:rsidR="1AAF7359" w:rsidRPr="008C258B">
        <w:t xml:space="preserve"> </w:t>
      </w:r>
      <w:r w:rsidR="3B18287B" w:rsidRPr="008C258B">
        <w:t>R</w:t>
      </w:r>
      <w:r w:rsidR="1AAF7359" w:rsidRPr="008C258B">
        <w:t xml:space="preserve">egistered </w:t>
      </w:r>
      <w:r w:rsidR="5208C264" w:rsidRPr="008C258B">
        <w:t>P</w:t>
      </w:r>
      <w:r w:rsidR="1AAF7359" w:rsidRPr="008C258B">
        <w:t xml:space="preserve">articipants and </w:t>
      </w:r>
      <w:r w:rsidR="5BC2F307" w:rsidRPr="008C258B">
        <w:t>M</w:t>
      </w:r>
      <w:r w:rsidR="1AAF7359" w:rsidRPr="008C258B">
        <w:t>embers</w:t>
      </w:r>
      <w:r w:rsidRPr="008C258B">
        <w:t xml:space="preserve"> to communicate openly and to collaborate in using problem-solving and negotiation techniques to resolve their differences. In almost</w:t>
      </w:r>
      <w:r w:rsidR="283BAFE9">
        <w:t xml:space="preserve"> </w:t>
      </w:r>
      <w:r w:rsidRPr="008C258B">
        <w:t>all cases</w:t>
      </w:r>
      <w:r w:rsidR="283BAFE9">
        <w:t>,</w:t>
      </w:r>
      <w:r w:rsidRPr="008C258B">
        <w:t xml:space="preserve"> a negotiated settlement is preferable to any outcome achieved through other dispute resolution techniques and negotiated resolutions to disputes with and among </w:t>
      </w:r>
      <w:r w:rsidR="283BAFE9">
        <w:t>participants</w:t>
      </w:r>
      <w:r w:rsidRPr="008C258B">
        <w:t xml:space="preserve"> are strongly</w:t>
      </w:r>
      <w:r w:rsidRPr="008C258B">
        <w:rPr>
          <w:spacing w:val="-2"/>
        </w:rPr>
        <w:t xml:space="preserve"> </w:t>
      </w:r>
      <w:r w:rsidRPr="008C258B">
        <w:t>encouraged.</w:t>
      </w:r>
    </w:p>
    <w:p w14:paraId="604CD1D6" w14:textId="3FE367BD" w:rsidR="00A35372" w:rsidRPr="00920FD6" w:rsidRDefault="000425CC" w:rsidP="00920FD6">
      <w:pPr>
        <w:pStyle w:val="Heading1"/>
      </w:pPr>
      <w:r w:rsidRPr="00920FD6">
        <w:lastRenderedPageBreak/>
        <w:t xml:space="preserve">5. </w:t>
      </w:r>
      <w:r w:rsidR="00A35372" w:rsidRPr="00920FD6">
        <w:t>Facilitation and Mediation</w:t>
      </w:r>
    </w:p>
    <w:p w14:paraId="683B4F0E" w14:textId="487E0C15" w:rsidR="00A35372" w:rsidRPr="008C258B" w:rsidRDefault="7E1A0A0F" w:rsidP="00E61710">
      <w:pPr>
        <w:tabs>
          <w:tab w:val="left" w:pos="821"/>
        </w:tabs>
      </w:pPr>
      <w:r w:rsidRPr="008C258B">
        <w:t>Opportunities for facilitation and mediation may be pursued at any point in a</w:t>
      </w:r>
      <w:r w:rsidR="283BAFE9">
        <w:t xml:space="preserve"> </w:t>
      </w:r>
      <w:r w:rsidRPr="008C258B">
        <w:t>dispute within FHC where it is appropriate and where the disputing parties agree that such a course of action would be mutually</w:t>
      </w:r>
      <w:r w:rsidRPr="008C258B">
        <w:rPr>
          <w:spacing w:val="-1"/>
        </w:rPr>
        <w:t xml:space="preserve"> </w:t>
      </w:r>
      <w:r w:rsidRPr="008C258B">
        <w:t>beneficial.</w:t>
      </w:r>
    </w:p>
    <w:p w14:paraId="4654C266" w14:textId="77777777" w:rsidR="00A35372" w:rsidRPr="008C258B" w:rsidRDefault="00A35372" w:rsidP="00E61710">
      <w:pPr>
        <w:pStyle w:val="BodyText"/>
        <w:rPr>
          <w:sz w:val="22"/>
          <w:szCs w:val="22"/>
        </w:rPr>
      </w:pPr>
    </w:p>
    <w:p w14:paraId="3CB295A0" w14:textId="29CADF12" w:rsidR="00A35372" w:rsidRPr="008C258B" w:rsidRDefault="00A35372" w:rsidP="00E61710">
      <w:pPr>
        <w:tabs>
          <w:tab w:val="left" w:pos="821"/>
        </w:tabs>
      </w:pPr>
      <w:r w:rsidRPr="008C258B">
        <w:t>The Sport Dispute Resolution Centre of Canada (SDRCC</w:t>
      </w:r>
      <w:r w:rsidR="00A97C9C">
        <w:t>)</w:t>
      </w:r>
      <w:r w:rsidRPr="008C258B">
        <w:t xml:space="preserve"> Program</w:t>
      </w:r>
      <w:r w:rsidR="008C258B">
        <w:t xml:space="preserve"> </w:t>
      </w:r>
      <w:r w:rsidR="008C258B" w:rsidRPr="000215BC">
        <w:rPr>
          <w:sz w:val="18"/>
          <w:szCs w:val="18"/>
        </w:rPr>
        <w:t>(</w:t>
      </w:r>
      <w:hyperlink r:id="rId10" w:history="1">
        <w:r w:rsidR="000215BC" w:rsidRPr="000215BC">
          <w:rPr>
            <w:rStyle w:val="Hyperlink"/>
            <w:sz w:val="18"/>
            <w:szCs w:val="18"/>
          </w:rPr>
          <w:t>http://www.crdsc-sdrcc.ca/eng/home</w:t>
        </w:r>
      </w:hyperlink>
      <w:r w:rsidR="000215BC" w:rsidRPr="000215BC">
        <w:rPr>
          <w:sz w:val="18"/>
          <w:szCs w:val="18"/>
        </w:rPr>
        <w:t xml:space="preserve"> </w:t>
      </w:r>
      <w:r w:rsidR="000215BC">
        <w:rPr>
          <w:sz w:val="18"/>
          <w:szCs w:val="18"/>
        </w:rPr>
        <w:t>OR</w:t>
      </w:r>
      <w:r w:rsidR="000215BC" w:rsidRPr="000215BC">
        <w:rPr>
          <w:sz w:val="18"/>
          <w:szCs w:val="18"/>
        </w:rPr>
        <w:t xml:space="preserve"> </w:t>
      </w:r>
      <w:hyperlink r:id="rId11" w:history="1">
        <w:r w:rsidR="000215BC" w:rsidRPr="000215BC">
          <w:rPr>
            <w:rStyle w:val="Hyperlink"/>
            <w:sz w:val="18"/>
            <w:szCs w:val="18"/>
          </w:rPr>
          <w:t>http://www.crdsc-sdrcc.ca/fr/accueil</w:t>
        </w:r>
      </w:hyperlink>
      <w:r w:rsidR="000215BC" w:rsidRPr="000215BC">
        <w:rPr>
          <w:sz w:val="18"/>
          <w:szCs w:val="18"/>
        </w:rPr>
        <w:t>)</w:t>
      </w:r>
      <w:r w:rsidRPr="008C258B">
        <w:t xml:space="preserve">, or any successor program, provides mediation services. Where the disputing parties </w:t>
      </w:r>
      <w:proofErr w:type="gramStart"/>
      <w:r w:rsidRPr="008C258B">
        <w:t>are in agreement</w:t>
      </w:r>
      <w:proofErr w:type="gramEnd"/>
      <w:r w:rsidRPr="008C258B">
        <w:t>, mediation through this Program and using this Program’s rules and procedures, as amended from time to time, may be pursued.</w:t>
      </w:r>
    </w:p>
    <w:p w14:paraId="2A22FB69" w14:textId="77777777" w:rsidR="00A35372" w:rsidRPr="008C258B" w:rsidRDefault="00A35372" w:rsidP="00E61710">
      <w:pPr>
        <w:pStyle w:val="BodyText"/>
        <w:rPr>
          <w:sz w:val="22"/>
          <w:szCs w:val="22"/>
        </w:rPr>
      </w:pPr>
    </w:p>
    <w:p w14:paraId="1B13AE48" w14:textId="77777777" w:rsidR="00A35372" w:rsidRPr="008C258B" w:rsidRDefault="00A35372" w:rsidP="00E61710">
      <w:pPr>
        <w:tabs>
          <w:tab w:val="left" w:pos="821"/>
        </w:tabs>
      </w:pPr>
      <w:r w:rsidRPr="008C258B">
        <w:t>The disputing parties may also pursue other opportunities for mediation. Where mediation is pursued, whether through the SDRCC Program or through other mechanisms, it will be done so in accordance with standard mediation practice</w:t>
      </w:r>
      <w:r w:rsidRPr="008C258B">
        <w:rPr>
          <w:spacing w:val="-36"/>
        </w:rPr>
        <w:t xml:space="preserve"> </w:t>
      </w:r>
      <w:r w:rsidRPr="008C258B">
        <w:t>using trained mediators who are acceptable to the</w:t>
      </w:r>
      <w:r w:rsidRPr="008C258B">
        <w:rPr>
          <w:spacing w:val="-5"/>
        </w:rPr>
        <w:t xml:space="preserve"> </w:t>
      </w:r>
      <w:r w:rsidRPr="008C258B">
        <w:t>parties.</w:t>
      </w:r>
    </w:p>
    <w:p w14:paraId="13D60716" w14:textId="24D44182" w:rsidR="00A35372" w:rsidRDefault="000425CC" w:rsidP="00A35372">
      <w:pPr>
        <w:pStyle w:val="Heading1"/>
      </w:pPr>
      <w:r>
        <w:t xml:space="preserve">6. </w:t>
      </w:r>
      <w:r w:rsidR="00A35372">
        <w:t>Appeals</w:t>
      </w:r>
    </w:p>
    <w:p w14:paraId="219131A7" w14:textId="5CA76930" w:rsidR="00A35372" w:rsidRPr="003B2978" w:rsidRDefault="7E1A0A0F" w:rsidP="003B2978">
      <w:pPr>
        <w:tabs>
          <w:tab w:val="left" w:pos="821"/>
        </w:tabs>
        <w:spacing w:before="1"/>
      </w:pPr>
      <w:r w:rsidRPr="003B2978">
        <w:t xml:space="preserve">Appeals within FHC will be dealt with under the </w:t>
      </w:r>
      <w:r w:rsidR="484D7D38" w:rsidRPr="003B2978">
        <w:t>FHC</w:t>
      </w:r>
      <w:r w:rsidRPr="003B2978">
        <w:t xml:space="preserve"> </w:t>
      </w:r>
      <w:r w:rsidRPr="28A78958">
        <w:rPr>
          <w:b/>
          <w:bCs/>
          <w:i/>
          <w:iCs/>
        </w:rPr>
        <w:t>Appeals</w:t>
      </w:r>
      <w:r w:rsidRPr="28A78958">
        <w:rPr>
          <w:b/>
          <w:bCs/>
          <w:i/>
          <w:iCs/>
          <w:spacing w:val="-26"/>
        </w:rPr>
        <w:t xml:space="preserve"> </w:t>
      </w:r>
      <w:r w:rsidRPr="28A78958">
        <w:rPr>
          <w:b/>
          <w:bCs/>
          <w:i/>
          <w:iCs/>
        </w:rPr>
        <w:t>Policy</w:t>
      </w:r>
      <w:r w:rsidRPr="003B2978">
        <w:t>.</w:t>
      </w:r>
    </w:p>
    <w:p w14:paraId="2ECB6E61" w14:textId="77777777" w:rsidR="00A35372" w:rsidRDefault="00A35372" w:rsidP="00A35372">
      <w:pPr>
        <w:pStyle w:val="BodyText"/>
        <w:spacing w:before="1"/>
      </w:pPr>
    </w:p>
    <w:p w14:paraId="4D564A2B" w14:textId="66A72BAB" w:rsidR="00A35372" w:rsidRDefault="000425CC" w:rsidP="00A35372">
      <w:pPr>
        <w:pStyle w:val="Heading1"/>
        <w:spacing w:before="1"/>
      </w:pPr>
      <w:r>
        <w:t xml:space="preserve">7. </w:t>
      </w:r>
      <w:r w:rsidR="00A35372">
        <w:t>Arbitration</w:t>
      </w:r>
    </w:p>
    <w:p w14:paraId="6F93F155" w14:textId="274FA5CF" w:rsidR="00A35372" w:rsidRPr="003B2978" w:rsidRDefault="00A35372" w:rsidP="00E61710">
      <w:pPr>
        <w:tabs>
          <w:tab w:val="left" w:pos="821"/>
        </w:tabs>
      </w:pPr>
      <w:r w:rsidRPr="003B2978">
        <w:t xml:space="preserve">In the event that a dispute persists after internal avenues of decision-making, </w:t>
      </w:r>
      <w:r w:rsidR="6B7A7779" w:rsidRPr="003B2978">
        <w:t>negotiation</w:t>
      </w:r>
      <w:r w:rsidRPr="003B2978">
        <w:t>, facilitation, mediation and/or appeals have been exhausted, opportunities for final binding arbitration may be pursued through the</w:t>
      </w:r>
      <w:r w:rsidRPr="003B2978">
        <w:rPr>
          <w:spacing w:val="-32"/>
        </w:rPr>
        <w:t xml:space="preserve"> </w:t>
      </w:r>
      <w:r w:rsidRPr="003B2978">
        <w:t>SDRCC Program, or any successor program</w:t>
      </w:r>
      <w:r w:rsidR="5FAE7E97" w:rsidRPr="003B2978">
        <w:t xml:space="preserve"> or any other independent arbitration services and agreed to by all pa</w:t>
      </w:r>
      <w:r w:rsidR="32B7F68A" w:rsidRPr="003B2978">
        <w:t>rties.</w:t>
      </w:r>
    </w:p>
    <w:p w14:paraId="391E5F48" w14:textId="631E0831" w:rsidR="28A78958" w:rsidRDefault="28A78958" w:rsidP="28A78958"/>
    <w:p w14:paraId="7C6971AF" w14:textId="5246776E" w:rsidR="4D96E806" w:rsidRDefault="4D96E806">
      <w:r>
        <w:t>Where such independent arbitration is pursued, it will be done so in accordance with standard arbitration practice using trained arbitrators who are acceptable to all parties.</w:t>
      </w:r>
    </w:p>
    <w:p w14:paraId="6057881D" w14:textId="240F17A2" w:rsidR="28A78958" w:rsidRDefault="28A78958" w:rsidP="28A78958"/>
    <w:p w14:paraId="28CED269" w14:textId="14D6DEF3" w:rsidR="4D96E806" w:rsidRDefault="4D96E806">
      <w:r>
        <w:t>Where a dispute is referred to arbitration through the SDRCC Program, such arbitration will be carried out pursuant to the rules and procedures of this Program, as amended from time to time.</w:t>
      </w:r>
    </w:p>
    <w:p w14:paraId="199E40A5" w14:textId="77777777" w:rsidR="00A35372" w:rsidRPr="003B2978" w:rsidRDefault="00A35372" w:rsidP="00E61710">
      <w:pPr>
        <w:pStyle w:val="BodyText"/>
        <w:rPr>
          <w:sz w:val="22"/>
          <w:szCs w:val="22"/>
        </w:rPr>
      </w:pPr>
    </w:p>
    <w:p w14:paraId="6722C099" w14:textId="26A25494" w:rsidR="00A35372" w:rsidRPr="003B2978" w:rsidRDefault="7E1A0A0F" w:rsidP="00E61710">
      <w:pPr>
        <w:tabs>
          <w:tab w:val="left" w:pos="821"/>
        </w:tabs>
      </w:pPr>
      <w:r w:rsidRPr="003B2978">
        <w:t>The parties involved in a dispute may also mutually agree to bypass internal</w:t>
      </w:r>
      <w:r w:rsidRPr="003B2978">
        <w:rPr>
          <w:spacing w:val="-29"/>
        </w:rPr>
        <w:t xml:space="preserve"> </w:t>
      </w:r>
      <w:r w:rsidRPr="003B2978">
        <w:t>avenues of dispute resolution and may directly pursue opportunities for final binding arbitration</w:t>
      </w:r>
      <w:r w:rsidR="25CBD054" w:rsidRPr="003B2978">
        <w:t>.</w:t>
      </w:r>
    </w:p>
    <w:p w14:paraId="3B439270" w14:textId="77777777" w:rsidR="00A35372" w:rsidRPr="003B2978" w:rsidRDefault="00A35372" w:rsidP="00E61710">
      <w:pPr>
        <w:pStyle w:val="BodyText"/>
        <w:rPr>
          <w:sz w:val="22"/>
          <w:szCs w:val="22"/>
        </w:rPr>
      </w:pPr>
    </w:p>
    <w:p w14:paraId="2944E8F7" w14:textId="77777777" w:rsidR="00A35372" w:rsidRPr="003B2978" w:rsidRDefault="00A35372" w:rsidP="00E61710">
      <w:pPr>
        <w:tabs>
          <w:tab w:val="left" w:pos="821"/>
        </w:tabs>
      </w:pPr>
      <w:r w:rsidRPr="003B2978">
        <w:t>The parties to any arbitration, whether through the SDRCC Program or through other independent arbitration will enter into a written Arbitration Agreement that will specify that the decision of the arbitrator will be final and binding upon the parties and not subject to any further review by any court or any other</w:t>
      </w:r>
      <w:r w:rsidRPr="003B2978">
        <w:rPr>
          <w:spacing w:val="-14"/>
        </w:rPr>
        <w:t xml:space="preserve"> </w:t>
      </w:r>
      <w:r w:rsidRPr="003B2978">
        <w:t>body.</w:t>
      </w:r>
    </w:p>
    <w:p w14:paraId="51C3DFED" w14:textId="56ED6356" w:rsidR="00A35372" w:rsidRDefault="000425CC" w:rsidP="00A35372">
      <w:pPr>
        <w:pStyle w:val="Heading1"/>
      </w:pPr>
      <w:r>
        <w:t xml:space="preserve">8. </w:t>
      </w:r>
      <w:r w:rsidR="00A35372">
        <w:t>No Legal Action</w:t>
      </w:r>
    </w:p>
    <w:p w14:paraId="2206B97A" w14:textId="3AAC1909" w:rsidR="000956D1" w:rsidRPr="005F78F3" w:rsidRDefault="00A35372" w:rsidP="0075372D">
      <w:pPr>
        <w:pStyle w:val="ListParagraph"/>
        <w:tabs>
          <w:tab w:val="left" w:pos="821"/>
        </w:tabs>
        <w:ind w:left="0" w:right="369" w:firstLine="0"/>
      </w:pPr>
      <w:r w:rsidRPr="0075372D">
        <w:t>No action, application for judicial review or other legal proceeding will be commenced against FHC respecting a dispute, unless the remedies afforded by</w:t>
      </w:r>
      <w:r w:rsidRPr="0075372D">
        <w:rPr>
          <w:spacing w:val="-33"/>
        </w:rPr>
        <w:t xml:space="preserve"> </w:t>
      </w:r>
      <w:r w:rsidRPr="0075372D">
        <w:t>this policy have been</w:t>
      </w:r>
      <w:r w:rsidRPr="0075372D">
        <w:rPr>
          <w:spacing w:val="-3"/>
        </w:rPr>
        <w:t xml:space="preserve"> </w:t>
      </w:r>
      <w:r w:rsidRPr="0075372D">
        <w:t>exhausted.</w:t>
      </w:r>
    </w:p>
    <w:p w14:paraId="350FDCE7" w14:textId="77777777" w:rsidR="000956D1" w:rsidRDefault="000956D1"/>
    <w:sectPr w:rsidR="000956D1" w:rsidSect="000425CC">
      <w:headerReference w:type="default" r:id="rId12"/>
      <w:footerReference w:type="defaul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592D" w14:textId="77777777" w:rsidR="00B91A1C" w:rsidRDefault="00B91A1C" w:rsidP="00DF0721">
      <w:r>
        <w:separator/>
      </w:r>
    </w:p>
  </w:endnote>
  <w:endnote w:type="continuationSeparator" w:id="0">
    <w:p w14:paraId="75FF3F48" w14:textId="77777777" w:rsidR="00B91A1C" w:rsidRDefault="00B91A1C" w:rsidP="00DF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86572"/>
      <w:docPartObj>
        <w:docPartGallery w:val="Page Numbers (Bottom of Page)"/>
        <w:docPartUnique/>
      </w:docPartObj>
    </w:sdtPr>
    <w:sdtEndPr>
      <w:rPr>
        <w:noProof/>
        <w:sz w:val="18"/>
        <w:szCs w:val="18"/>
      </w:rPr>
    </w:sdtEndPr>
    <w:sdtContent>
      <w:p w14:paraId="162E2086" w14:textId="04ABA4DF" w:rsidR="00A35372" w:rsidRPr="00A35372" w:rsidRDefault="0074022C">
        <w:pPr>
          <w:pStyle w:val="Footer"/>
          <w:rPr>
            <w:sz w:val="18"/>
            <w:szCs w:val="18"/>
          </w:rPr>
        </w:pPr>
        <w:r w:rsidRPr="0074022C">
          <w:rPr>
            <w:sz w:val="18"/>
            <w:szCs w:val="18"/>
          </w:rPr>
          <w:t>Approved December 15, 2020</w:t>
        </w:r>
        <w:r w:rsidR="00406CEA">
          <w:tab/>
        </w:r>
        <w:r w:rsidR="00406CEA">
          <w:tab/>
        </w:r>
        <w:r w:rsidR="00A35372" w:rsidRPr="00A35372">
          <w:rPr>
            <w:sz w:val="18"/>
            <w:szCs w:val="18"/>
          </w:rPr>
          <w:fldChar w:fldCharType="begin"/>
        </w:r>
        <w:r w:rsidR="00A35372" w:rsidRPr="00A35372">
          <w:rPr>
            <w:sz w:val="18"/>
            <w:szCs w:val="18"/>
          </w:rPr>
          <w:instrText xml:space="preserve"> PAGE   \* MERGEFORMAT </w:instrText>
        </w:r>
        <w:r w:rsidR="00A35372" w:rsidRPr="00A35372">
          <w:rPr>
            <w:sz w:val="18"/>
            <w:szCs w:val="18"/>
          </w:rPr>
          <w:fldChar w:fldCharType="separate"/>
        </w:r>
        <w:r w:rsidR="00A35372" w:rsidRPr="00A35372">
          <w:rPr>
            <w:noProof/>
            <w:sz w:val="18"/>
            <w:szCs w:val="18"/>
          </w:rPr>
          <w:t>2</w:t>
        </w:r>
        <w:r w:rsidR="00A35372" w:rsidRPr="00A35372">
          <w:rPr>
            <w:noProof/>
            <w:sz w:val="18"/>
            <w:szCs w:val="18"/>
          </w:rPr>
          <w:fldChar w:fldCharType="end"/>
        </w:r>
      </w:p>
    </w:sdtContent>
  </w:sdt>
  <w:p w14:paraId="274CB90F" w14:textId="77777777" w:rsidR="00A35372" w:rsidRDefault="00A3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87BD" w14:textId="77777777" w:rsidR="00B91A1C" w:rsidRDefault="00B91A1C" w:rsidP="00DF0721">
      <w:r>
        <w:separator/>
      </w:r>
    </w:p>
  </w:footnote>
  <w:footnote w:type="continuationSeparator" w:id="0">
    <w:p w14:paraId="08E5CA70" w14:textId="77777777" w:rsidR="00B91A1C" w:rsidRDefault="00B91A1C" w:rsidP="00DF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640B" w14:textId="794D9532" w:rsidR="00A35372" w:rsidRDefault="00B91A1C">
    <w:pPr>
      <w:pStyle w:val="BodyText"/>
      <w:spacing w:line="14" w:lineRule="auto"/>
      <w:rPr>
        <w:sz w:val="20"/>
      </w:rPr>
    </w:pPr>
    <w:r>
      <w:pict w14:anchorId="0C25D376">
        <v:shapetype id="_x0000_t202" coordsize="21600,21600" o:spt="202" path="m,l,21600r21600,l21600,xe">
          <v:stroke joinstyle="miter"/>
          <v:path gradientshapeok="t" o:connecttype="rect"/>
        </v:shapetype>
        <v:shape id="_x0000_s2049" type="#_x0000_t202" style="position:absolute;margin-left:300.35pt;margin-top:37pt;width:226.95pt;height:12pt;z-index:-251658752;mso-position-horizontal-relative:page;mso-position-vertical-relative:page" filled="f" stroked="f">
          <v:textbox style="mso-next-textbox:#_x0000_s2049" inset="0,0,0,0">
            <w:txbxContent>
              <w:p w14:paraId="5BCFFF23" w14:textId="27BFBCDA" w:rsidR="00A35372" w:rsidRPr="000425CC" w:rsidRDefault="00A35372">
                <w:pPr>
                  <w:spacing w:line="223" w:lineRule="exact"/>
                  <w:ind w:left="20"/>
                  <w:rPr>
                    <w:iCs/>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8A2"/>
    <w:multiLevelType w:val="hybridMultilevel"/>
    <w:tmpl w:val="AF9806A6"/>
    <w:lvl w:ilvl="0" w:tplc="563484FC">
      <w:start w:val="1"/>
      <w:numFmt w:val="decimal"/>
      <w:lvlText w:val="%1."/>
      <w:lvlJc w:val="left"/>
      <w:pPr>
        <w:ind w:left="820" w:hanging="360"/>
        <w:jc w:val="left"/>
      </w:pPr>
      <w:rPr>
        <w:rFonts w:ascii="Calibri" w:eastAsia="Calibri" w:hAnsi="Calibri" w:cs="Calibri" w:hint="default"/>
        <w:spacing w:val="-5"/>
        <w:w w:val="100"/>
        <w:sz w:val="24"/>
        <w:szCs w:val="24"/>
        <w:lang w:val="en-US" w:eastAsia="en-US" w:bidi="en-US"/>
      </w:rPr>
    </w:lvl>
    <w:lvl w:ilvl="1" w:tplc="38220348">
      <w:start w:val="1"/>
      <w:numFmt w:val="lowerLetter"/>
      <w:lvlText w:val="%2)"/>
      <w:lvlJc w:val="left"/>
      <w:pPr>
        <w:ind w:left="1180" w:hanging="360"/>
        <w:jc w:val="left"/>
      </w:pPr>
      <w:rPr>
        <w:rFonts w:ascii="Calibri" w:eastAsia="Calibri" w:hAnsi="Calibri" w:cs="Calibri" w:hint="default"/>
        <w:spacing w:val="-3"/>
        <w:w w:val="100"/>
        <w:sz w:val="24"/>
        <w:szCs w:val="24"/>
        <w:lang w:val="en-US" w:eastAsia="en-US" w:bidi="en-US"/>
      </w:rPr>
    </w:lvl>
    <w:lvl w:ilvl="2" w:tplc="64C2DD40">
      <w:numFmt w:val="bullet"/>
      <w:lvlText w:val="•"/>
      <w:lvlJc w:val="left"/>
      <w:pPr>
        <w:ind w:left="2080" w:hanging="360"/>
      </w:pPr>
      <w:rPr>
        <w:rFonts w:hint="default"/>
        <w:lang w:val="en-US" w:eastAsia="en-US" w:bidi="en-US"/>
      </w:rPr>
    </w:lvl>
    <w:lvl w:ilvl="3" w:tplc="6F4C2F46">
      <w:numFmt w:val="bullet"/>
      <w:lvlText w:val="•"/>
      <w:lvlJc w:val="left"/>
      <w:pPr>
        <w:ind w:left="2980" w:hanging="360"/>
      </w:pPr>
      <w:rPr>
        <w:rFonts w:hint="default"/>
        <w:lang w:val="en-US" w:eastAsia="en-US" w:bidi="en-US"/>
      </w:rPr>
    </w:lvl>
    <w:lvl w:ilvl="4" w:tplc="F4480C18">
      <w:numFmt w:val="bullet"/>
      <w:lvlText w:val="•"/>
      <w:lvlJc w:val="left"/>
      <w:pPr>
        <w:ind w:left="3880" w:hanging="360"/>
      </w:pPr>
      <w:rPr>
        <w:rFonts w:hint="default"/>
        <w:lang w:val="en-US" w:eastAsia="en-US" w:bidi="en-US"/>
      </w:rPr>
    </w:lvl>
    <w:lvl w:ilvl="5" w:tplc="6250263C">
      <w:numFmt w:val="bullet"/>
      <w:lvlText w:val="•"/>
      <w:lvlJc w:val="left"/>
      <w:pPr>
        <w:ind w:left="4780" w:hanging="360"/>
      </w:pPr>
      <w:rPr>
        <w:rFonts w:hint="default"/>
        <w:lang w:val="en-US" w:eastAsia="en-US" w:bidi="en-US"/>
      </w:rPr>
    </w:lvl>
    <w:lvl w:ilvl="6" w:tplc="1DDAB9CC">
      <w:numFmt w:val="bullet"/>
      <w:lvlText w:val="•"/>
      <w:lvlJc w:val="left"/>
      <w:pPr>
        <w:ind w:left="5680" w:hanging="360"/>
      </w:pPr>
      <w:rPr>
        <w:rFonts w:hint="default"/>
        <w:lang w:val="en-US" w:eastAsia="en-US" w:bidi="en-US"/>
      </w:rPr>
    </w:lvl>
    <w:lvl w:ilvl="7" w:tplc="6D748FF2">
      <w:numFmt w:val="bullet"/>
      <w:lvlText w:val="•"/>
      <w:lvlJc w:val="left"/>
      <w:pPr>
        <w:ind w:left="6580" w:hanging="360"/>
      </w:pPr>
      <w:rPr>
        <w:rFonts w:hint="default"/>
        <w:lang w:val="en-US" w:eastAsia="en-US" w:bidi="en-US"/>
      </w:rPr>
    </w:lvl>
    <w:lvl w:ilvl="8" w:tplc="C1FEA196">
      <w:numFmt w:val="bullet"/>
      <w:lvlText w:val="•"/>
      <w:lvlJc w:val="left"/>
      <w:pPr>
        <w:ind w:left="7480" w:hanging="360"/>
      </w:pPr>
      <w:rPr>
        <w:rFonts w:hint="default"/>
        <w:lang w:val="en-US" w:eastAsia="en-US" w:bidi="en-US"/>
      </w:rPr>
    </w:lvl>
  </w:abstractNum>
  <w:abstractNum w:abstractNumId="1" w15:restartNumberingAfterBreak="0">
    <w:nsid w:val="30DB07A1"/>
    <w:multiLevelType w:val="hybridMultilevel"/>
    <w:tmpl w:val="9FEA47B0"/>
    <w:lvl w:ilvl="0" w:tplc="C7B4E182">
      <w:start w:val="1"/>
      <w:numFmt w:val="lowerLetter"/>
      <w:lvlText w:val="%1."/>
      <w:lvlJc w:val="left"/>
      <w:pPr>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166215"/>
    <w:multiLevelType w:val="hybridMultilevel"/>
    <w:tmpl w:val="1E6A4174"/>
    <w:lvl w:ilvl="0" w:tplc="C7B4E182">
      <w:start w:val="1"/>
      <w:numFmt w:val="lowerLetter"/>
      <w:lvlText w:val="%1."/>
      <w:lvlJc w:val="left"/>
      <w:pPr>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75140A"/>
    <w:multiLevelType w:val="hybridMultilevel"/>
    <w:tmpl w:val="03E4AB94"/>
    <w:lvl w:ilvl="0" w:tplc="C7B4E182">
      <w:start w:val="1"/>
      <w:numFmt w:val="lowerLetter"/>
      <w:lvlText w:val="%1."/>
      <w:lvlJc w:val="left"/>
      <w:pPr>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C"/>
    <w:rsid w:val="0001278A"/>
    <w:rsid w:val="000215BC"/>
    <w:rsid w:val="000425CC"/>
    <w:rsid w:val="00064BA8"/>
    <w:rsid w:val="0008177C"/>
    <w:rsid w:val="00091484"/>
    <w:rsid w:val="000956D1"/>
    <w:rsid w:val="000F19BB"/>
    <w:rsid w:val="000F6CAE"/>
    <w:rsid w:val="00123CB5"/>
    <w:rsid w:val="001A120E"/>
    <w:rsid w:val="00314448"/>
    <w:rsid w:val="00317D9F"/>
    <w:rsid w:val="00333614"/>
    <w:rsid w:val="003861B6"/>
    <w:rsid w:val="0039180B"/>
    <w:rsid w:val="003B2978"/>
    <w:rsid w:val="003E5676"/>
    <w:rsid w:val="00406CEA"/>
    <w:rsid w:val="00430C3D"/>
    <w:rsid w:val="004853C8"/>
    <w:rsid w:val="00495B13"/>
    <w:rsid w:val="004B5ADD"/>
    <w:rsid w:val="005975A2"/>
    <w:rsid w:val="0059761B"/>
    <w:rsid w:val="005F3DD4"/>
    <w:rsid w:val="00610D14"/>
    <w:rsid w:val="00640EBA"/>
    <w:rsid w:val="00676EFF"/>
    <w:rsid w:val="0074022C"/>
    <w:rsid w:val="0075372D"/>
    <w:rsid w:val="007B5692"/>
    <w:rsid w:val="008043C7"/>
    <w:rsid w:val="00835F52"/>
    <w:rsid w:val="008449C9"/>
    <w:rsid w:val="008B1683"/>
    <w:rsid w:val="008C258B"/>
    <w:rsid w:val="009130C6"/>
    <w:rsid w:val="00920FD6"/>
    <w:rsid w:val="00921C6F"/>
    <w:rsid w:val="00987C65"/>
    <w:rsid w:val="009C653B"/>
    <w:rsid w:val="00A35372"/>
    <w:rsid w:val="00A97C9C"/>
    <w:rsid w:val="00AE27D2"/>
    <w:rsid w:val="00B1011D"/>
    <w:rsid w:val="00B2244E"/>
    <w:rsid w:val="00B39C5F"/>
    <w:rsid w:val="00B60183"/>
    <w:rsid w:val="00B91A1C"/>
    <w:rsid w:val="00C46A20"/>
    <w:rsid w:val="00C5186A"/>
    <w:rsid w:val="00C82BB1"/>
    <w:rsid w:val="00D230E5"/>
    <w:rsid w:val="00D564DA"/>
    <w:rsid w:val="00D649D2"/>
    <w:rsid w:val="00DACE42"/>
    <w:rsid w:val="00DF0721"/>
    <w:rsid w:val="00E1000E"/>
    <w:rsid w:val="00E46A91"/>
    <w:rsid w:val="00E61710"/>
    <w:rsid w:val="00E81ADC"/>
    <w:rsid w:val="00EA2427"/>
    <w:rsid w:val="00ED1239"/>
    <w:rsid w:val="00F11015"/>
    <w:rsid w:val="00F122C8"/>
    <w:rsid w:val="00F46605"/>
    <w:rsid w:val="00F651F3"/>
    <w:rsid w:val="00FC42E5"/>
    <w:rsid w:val="03883AA4"/>
    <w:rsid w:val="056D5CDE"/>
    <w:rsid w:val="0633A7DB"/>
    <w:rsid w:val="06CE8115"/>
    <w:rsid w:val="07595126"/>
    <w:rsid w:val="0D960826"/>
    <w:rsid w:val="10ADE5A6"/>
    <w:rsid w:val="1AAF7359"/>
    <w:rsid w:val="1BB7BBEA"/>
    <w:rsid w:val="1F5A0A9E"/>
    <w:rsid w:val="25CBD054"/>
    <w:rsid w:val="25FA70E9"/>
    <w:rsid w:val="283BAFE9"/>
    <w:rsid w:val="28A78958"/>
    <w:rsid w:val="2BD5FA60"/>
    <w:rsid w:val="318AD99E"/>
    <w:rsid w:val="32B7F68A"/>
    <w:rsid w:val="36BA0A82"/>
    <w:rsid w:val="37832DD3"/>
    <w:rsid w:val="38BFE2C9"/>
    <w:rsid w:val="3923CCE7"/>
    <w:rsid w:val="3B18287B"/>
    <w:rsid w:val="3DFFBD4A"/>
    <w:rsid w:val="417AEFA2"/>
    <w:rsid w:val="457C4F85"/>
    <w:rsid w:val="46353868"/>
    <w:rsid w:val="4789A1D0"/>
    <w:rsid w:val="47F1D917"/>
    <w:rsid w:val="484D7D38"/>
    <w:rsid w:val="4AE06325"/>
    <w:rsid w:val="4D96E806"/>
    <w:rsid w:val="51B190DC"/>
    <w:rsid w:val="5208C264"/>
    <w:rsid w:val="524FB886"/>
    <w:rsid w:val="573F1F25"/>
    <w:rsid w:val="581C29AB"/>
    <w:rsid w:val="5895B022"/>
    <w:rsid w:val="5BB871DD"/>
    <w:rsid w:val="5BC2F307"/>
    <w:rsid w:val="5C0A3E1B"/>
    <w:rsid w:val="5CA695C0"/>
    <w:rsid w:val="5D4458C3"/>
    <w:rsid w:val="5F44F5E6"/>
    <w:rsid w:val="5FAE7E97"/>
    <w:rsid w:val="60CCD90E"/>
    <w:rsid w:val="618DAA32"/>
    <w:rsid w:val="61E3AD57"/>
    <w:rsid w:val="63DC7E37"/>
    <w:rsid w:val="6409B680"/>
    <w:rsid w:val="677962DC"/>
    <w:rsid w:val="685388CD"/>
    <w:rsid w:val="6B291FFA"/>
    <w:rsid w:val="6B7A7779"/>
    <w:rsid w:val="6BD3B13C"/>
    <w:rsid w:val="7034A259"/>
    <w:rsid w:val="7E1A0A0F"/>
    <w:rsid w:val="7E412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2FB7D"/>
  <w15:chartTrackingRefBased/>
  <w15:docId w15:val="{18AD5DD9-59C8-4A0C-B82C-1A1F4317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7C"/>
    <w:rPr>
      <w:rFonts w:asciiTheme="minorHAnsi" w:eastAsiaTheme="minorHAnsi" w:hAnsiTheme="minorHAnsi" w:cstheme="majorBidi"/>
      <w:szCs w:val="22"/>
    </w:rPr>
  </w:style>
  <w:style w:type="paragraph" w:styleId="Heading1">
    <w:name w:val="heading 1"/>
    <w:basedOn w:val="Normal"/>
    <w:next w:val="Normal"/>
    <w:link w:val="Heading1Char"/>
    <w:autoRedefine/>
    <w:uiPriority w:val="9"/>
    <w:qFormat/>
    <w:rsid w:val="00920FD6"/>
    <w:pPr>
      <w:keepNext/>
      <w:keepLines/>
      <w:widowControl w:val="0"/>
      <w:spacing w:before="360" w:after="240"/>
      <w:outlineLvl w:val="0"/>
    </w:pPr>
    <w:rPr>
      <w:rFonts w:eastAsiaTheme="majorEastAsia"/>
      <w:b/>
      <w:caps/>
      <w:snapToGrid w:val="0"/>
      <w:sz w:val="28"/>
      <w:szCs w:val="32"/>
      <w:lang w:val="en-US"/>
    </w:rPr>
  </w:style>
  <w:style w:type="paragraph" w:styleId="Heading2">
    <w:name w:val="heading 2"/>
    <w:basedOn w:val="Normal"/>
    <w:next w:val="Normal"/>
    <w:link w:val="Heading2Char"/>
    <w:autoRedefine/>
    <w:uiPriority w:val="9"/>
    <w:unhideWhenUsed/>
    <w:qFormat/>
    <w:rsid w:val="009C653B"/>
    <w:pPr>
      <w:keepNext/>
      <w:keepLines/>
      <w:widowControl w:val="0"/>
      <w:spacing w:before="240" w:after="240"/>
      <w:outlineLvl w:val="1"/>
    </w:pPr>
    <w:rPr>
      <w:rFonts w:eastAsiaTheme="majorEastAsia"/>
      <w:b/>
      <w:i/>
      <w:snapToGrid w:val="0"/>
      <w:sz w:val="26"/>
      <w:szCs w:val="26"/>
      <w:lang w:val="en-US"/>
    </w:rPr>
  </w:style>
  <w:style w:type="paragraph" w:styleId="Heading3">
    <w:name w:val="heading 3"/>
    <w:basedOn w:val="Normal"/>
    <w:next w:val="Normal"/>
    <w:link w:val="Heading3Char"/>
    <w:autoRedefine/>
    <w:uiPriority w:val="9"/>
    <w:semiHidden/>
    <w:unhideWhenUsed/>
    <w:qFormat/>
    <w:rsid w:val="009C653B"/>
    <w:pPr>
      <w:keepNext/>
      <w:keepLines/>
      <w:widowControl w:val="0"/>
      <w:spacing w:before="240"/>
      <w:outlineLvl w:val="2"/>
    </w:pPr>
    <w:rPr>
      <w:rFonts w:eastAsiaTheme="majorEastAsia"/>
      <w:b/>
      <w:i/>
      <w:snapToGrid w:val="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D6"/>
    <w:rPr>
      <w:rFonts w:asciiTheme="minorHAnsi" w:eastAsiaTheme="majorEastAsia" w:hAnsiTheme="minorHAnsi" w:cstheme="majorBidi"/>
      <w:b/>
      <w:caps/>
      <w:snapToGrid w:val="0"/>
      <w:sz w:val="28"/>
      <w:szCs w:val="32"/>
      <w:lang w:val="en-US"/>
    </w:rPr>
  </w:style>
  <w:style w:type="character" w:customStyle="1" w:styleId="Heading2Char">
    <w:name w:val="Heading 2 Char"/>
    <w:basedOn w:val="DefaultParagraphFont"/>
    <w:link w:val="Heading2"/>
    <w:uiPriority w:val="9"/>
    <w:rsid w:val="009C653B"/>
    <w:rPr>
      <w:rFonts w:asciiTheme="minorHAnsi" w:eastAsiaTheme="majorEastAsia" w:hAnsiTheme="minorHAnsi" w:cstheme="majorBidi"/>
      <w:b/>
      <w:i/>
      <w:snapToGrid w:val="0"/>
      <w:sz w:val="26"/>
      <w:szCs w:val="26"/>
      <w:lang w:val="en-US"/>
    </w:rPr>
  </w:style>
  <w:style w:type="character" w:customStyle="1" w:styleId="Heading3Char">
    <w:name w:val="Heading 3 Char"/>
    <w:basedOn w:val="DefaultParagraphFont"/>
    <w:link w:val="Heading3"/>
    <w:uiPriority w:val="9"/>
    <w:semiHidden/>
    <w:rsid w:val="009C653B"/>
    <w:rPr>
      <w:rFonts w:asciiTheme="minorHAnsi" w:eastAsiaTheme="majorEastAsia" w:hAnsiTheme="minorHAnsi" w:cstheme="majorBidi"/>
      <w:b/>
      <w:i/>
      <w:snapToGrid w:val="0"/>
      <w:sz w:val="24"/>
      <w:szCs w:val="24"/>
      <w:u w:val="single"/>
      <w:lang w:val="en-US"/>
    </w:rPr>
  </w:style>
  <w:style w:type="table" w:styleId="TableGrid">
    <w:name w:val="Table Grid"/>
    <w:basedOn w:val="TableNormal"/>
    <w:uiPriority w:val="59"/>
    <w:rsid w:val="0008177C"/>
    <w:rPr>
      <w:rFonts w:asciiTheme="minorHAnsi" w:eastAsiaTheme="minorHAnsi" w:hAnsiTheme="minorHAnsi" w:cstheme="minorBidi"/>
      <w:kern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721"/>
    <w:pPr>
      <w:tabs>
        <w:tab w:val="center" w:pos="4680"/>
        <w:tab w:val="right" w:pos="9360"/>
      </w:tabs>
    </w:pPr>
  </w:style>
  <w:style w:type="character" w:customStyle="1" w:styleId="HeaderChar">
    <w:name w:val="Header Char"/>
    <w:basedOn w:val="DefaultParagraphFont"/>
    <w:link w:val="Header"/>
    <w:uiPriority w:val="99"/>
    <w:rsid w:val="00DF0721"/>
    <w:rPr>
      <w:rFonts w:asciiTheme="minorHAnsi" w:eastAsiaTheme="minorHAnsi" w:hAnsiTheme="minorHAnsi" w:cstheme="majorBidi"/>
      <w:szCs w:val="22"/>
    </w:rPr>
  </w:style>
  <w:style w:type="paragraph" w:styleId="Footer">
    <w:name w:val="footer"/>
    <w:basedOn w:val="Normal"/>
    <w:link w:val="FooterChar"/>
    <w:uiPriority w:val="99"/>
    <w:unhideWhenUsed/>
    <w:rsid w:val="00DF0721"/>
    <w:pPr>
      <w:tabs>
        <w:tab w:val="center" w:pos="4680"/>
        <w:tab w:val="right" w:pos="9360"/>
      </w:tabs>
    </w:pPr>
  </w:style>
  <w:style w:type="character" w:customStyle="1" w:styleId="FooterChar">
    <w:name w:val="Footer Char"/>
    <w:basedOn w:val="DefaultParagraphFont"/>
    <w:link w:val="Footer"/>
    <w:uiPriority w:val="99"/>
    <w:rsid w:val="00DF0721"/>
    <w:rPr>
      <w:rFonts w:asciiTheme="minorHAnsi" w:eastAsiaTheme="minorHAnsi" w:hAnsiTheme="minorHAnsi" w:cstheme="majorBidi"/>
      <w:szCs w:val="22"/>
    </w:rPr>
  </w:style>
  <w:style w:type="paragraph" w:styleId="ListParagraph">
    <w:name w:val="List Paragraph"/>
    <w:basedOn w:val="Normal"/>
    <w:uiPriority w:val="1"/>
    <w:qFormat/>
    <w:rsid w:val="009C653B"/>
    <w:pPr>
      <w:widowControl w:val="0"/>
      <w:autoSpaceDE w:val="0"/>
      <w:autoSpaceDN w:val="0"/>
      <w:ind w:left="820" w:hanging="360"/>
    </w:pPr>
    <w:rPr>
      <w:rFonts w:ascii="Calibri" w:eastAsia="Calibri" w:hAnsi="Calibri" w:cs="Calibri"/>
      <w:lang w:val="en-US" w:bidi="en-US"/>
    </w:rPr>
  </w:style>
  <w:style w:type="paragraph" w:styleId="BodyText">
    <w:name w:val="Body Text"/>
    <w:basedOn w:val="Normal"/>
    <w:link w:val="BodyTextChar"/>
    <w:uiPriority w:val="1"/>
    <w:qFormat/>
    <w:rsid w:val="009C653B"/>
    <w:pPr>
      <w:widowControl w:val="0"/>
      <w:autoSpaceDE w:val="0"/>
      <w:autoSpaceDN w:val="0"/>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C653B"/>
    <w:rPr>
      <w:rFonts w:eastAsia="Calibri" w:cs="Calibri"/>
      <w:sz w:val="24"/>
      <w:szCs w:val="24"/>
      <w:lang w:val="en-US" w:bidi="en-US"/>
    </w:rPr>
  </w:style>
  <w:style w:type="character" w:styleId="Hyperlink">
    <w:name w:val="Hyperlink"/>
    <w:basedOn w:val="DefaultParagraphFont"/>
    <w:uiPriority w:val="99"/>
    <w:semiHidden/>
    <w:unhideWhenUsed/>
    <w:rsid w:val="00021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dsc-sdrcc.ca/fr/accue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rdsc-sdrcc.ca/eng/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E7402B61923418C632C8BC780CCC4" ma:contentTypeVersion="8" ma:contentTypeDescription="Create a new document." ma:contentTypeScope="" ma:versionID="7a9725553c17333863aafd05763a1d88">
  <xsd:schema xmlns:xsd="http://www.w3.org/2001/XMLSchema" xmlns:xs="http://www.w3.org/2001/XMLSchema" xmlns:p="http://schemas.microsoft.com/office/2006/metadata/properties" xmlns:ns2="926b372b-cb0a-44f9-8f13-5014c71724f7" targetNamespace="http://schemas.microsoft.com/office/2006/metadata/properties" ma:root="true" ma:fieldsID="adfc5eab75571b410af991a75f4c9f58" ns2:_="">
    <xsd:import namespace="926b372b-cb0a-44f9-8f13-5014c7172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b372b-cb0a-44f9-8f13-5014c717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DCC02-4ED7-47C4-865B-CDCC9BFF9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3E750-ACEE-4A24-9E9D-63C8EF47274A}">
  <ds:schemaRefs>
    <ds:schemaRef ds:uri="http://schemas.microsoft.com/sharepoint/v3/contenttype/forms"/>
  </ds:schemaRefs>
</ds:datastoreItem>
</file>

<file path=customXml/itemProps3.xml><?xml version="1.0" encoding="utf-8"?>
<ds:datastoreItem xmlns:ds="http://schemas.openxmlformats.org/officeDocument/2006/customXml" ds:itemID="{B403AEB0-D308-4ECC-BB21-8AC7CEF2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b372b-cb0a-44f9-8f13-5014c717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dc:creator>
  <cp:keywords/>
  <dc:description/>
  <cp:lastModifiedBy>MP</cp:lastModifiedBy>
  <cp:revision>2</cp:revision>
  <dcterms:created xsi:type="dcterms:W3CDTF">2021-02-05T15:59:00Z</dcterms:created>
  <dcterms:modified xsi:type="dcterms:W3CDTF">2021-02-05T15:59:00Z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0x01010078FE7402B61923418C632C8BC780CCC4</vt:lpwstr>
  </property>
</Properties>
</file>